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B5" w:rsidRDefault="001953B5" w:rsidP="002B25E7">
      <w:pPr>
        <w:spacing w:line="240" w:lineRule="auto"/>
        <w:ind w:right="-142"/>
        <w:jc w:val="both"/>
        <w:rPr>
          <w:rFonts w:ascii="Times New Roman" w:hAnsi="Times New Roman" w:cs="Times New Roman"/>
          <w:b/>
          <w:sz w:val="28"/>
          <w:szCs w:val="28"/>
        </w:rPr>
      </w:pPr>
      <w:r>
        <w:rPr>
          <w:rFonts w:ascii="Times New Roman" w:hAnsi="Times New Roman" w:cs="Times New Roman"/>
          <w:b/>
          <w:noProof/>
          <w:sz w:val="28"/>
          <w:szCs w:val="28"/>
          <w:lang w:eastAsia="es-ES"/>
        </w:rPr>
        <w:drawing>
          <wp:anchor distT="0" distB="0" distL="114300" distR="114300" simplePos="0" relativeHeight="251658240" behindDoc="0" locked="0" layoutInCell="1" allowOverlap="0">
            <wp:simplePos x="0" y="0"/>
            <wp:positionH relativeFrom="column">
              <wp:posOffset>-156210</wp:posOffset>
            </wp:positionH>
            <wp:positionV relativeFrom="paragraph">
              <wp:posOffset>-252095</wp:posOffset>
            </wp:positionV>
            <wp:extent cx="2134800" cy="1270800"/>
            <wp:effectExtent l="0" t="0" r="0" b="571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4800" cy="1270800"/>
                    </a:xfrm>
                    <a:prstGeom prst="rect">
                      <a:avLst/>
                    </a:prstGeom>
                  </pic:spPr>
                </pic:pic>
              </a:graphicData>
            </a:graphic>
            <wp14:sizeRelH relativeFrom="margin">
              <wp14:pctWidth>0</wp14:pctWidth>
            </wp14:sizeRelH>
            <wp14:sizeRelV relativeFrom="margin">
              <wp14:pctHeight>0</wp14:pctHeight>
            </wp14:sizeRelV>
          </wp:anchor>
        </w:drawing>
      </w:r>
    </w:p>
    <w:p w:rsidR="001953B5" w:rsidRDefault="001953B5" w:rsidP="001953B5">
      <w:pPr>
        <w:spacing w:line="240" w:lineRule="auto"/>
        <w:ind w:left="-284" w:right="-142"/>
        <w:jc w:val="both"/>
        <w:rPr>
          <w:rFonts w:ascii="Times New Roman" w:hAnsi="Times New Roman" w:cs="Times New Roman"/>
          <w:b/>
          <w:sz w:val="28"/>
          <w:szCs w:val="28"/>
        </w:rPr>
      </w:pPr>
    </w:p>
    <w:p w:rsidR="001953B5" w:rsidRDefault="001953B5" w:rsidP="002B25E7">
      <w:pPr>
        <w:spacing w:line="240" w:lineRule="auto"/>
        <w:ind w:right="-142"/>
        <w:jc w:val="both"/>
        <w:rPr>
          <w:rFonts w:ascii="Times New Roman" w:hAnsi="Times New Roman" w:cs="Times New Roman"/>
          <w:b/>
          <w:sz w:val="28"/>
          <w:szCs w:val="28"/>
        </w:rPr>
      </w:pPr>
    </w:p>
    <w:p w:rsidR="001953B5" w:rsidRDefault="001953B5" w:rsidP="002B25E7">
      <w:pPr>
        <w:spacing w:line="240" w:lineRule="auto"/>
        <w:ind w:right="-142"/>
        <w:jc w:val="both"/>
        <w:rPr>
          <w:rFonts w:ascii="Times New Roman" w:hAnsi="Times New Roman" w:cs="Times New Roman"/>
          <w:b/>
          <w:sz w:val="28"/>
          <w:szCs w:val="28"/>
        </w:rPr>
      </w:pPr>
    </w:p>
    <w:p w:rsidR="002B25E7" w:rsidRPr="002B25E7" w:rsidRDefault="002B25E7" w:rsidP="002B25E7">
      <w:pPr>
        <w:spacing w:line="240" w:lineRule="auto"/>
        <w:ind w:right="-142"/>
        <w:jc w:val="both"/>
        <w:rPr>
          <w:rFonts w:ascii="Times New Roman" w:hAnsi="Times New Roman" w:cs="Times New Roman"/>
          <w:b/>
          <w:sz w:val="28"/>
          <w:szCs w:val="28"/>
        </w:rPr>
      </w:pPr>
      <w:r w:rsidRPr="002B25E7">
        <w:rPr>
          <w:rFonts w:ascii="Times New Roman" w:hAnsi="Times New Roman" w:cs="Times New Roman"/>
          <w:b/>
          <w:sz w:val="28"/>
          <w:szCs w:val="28"/>
        </w:rPr>
        <w:t xml:space="preserve">La adhesión, la implicación, la voluntad de la población es esencial para conservar, gestionar y ordenar nuestro paisaje y patrimonio de forma participativa. </w:t>
      </w:r>
    </w:p>
    <w:p w:rsidR="002B25E7" w:rsidRPr="001953B5" w:rsidRDefault="002B25E7" w:rsidP="002B25E7">
      <w:pPr>
        <w:spacing w:line="240" w:lineRule="auto"/>
        <w:ind w:right="-142"/>
        <w:jc w:val="both"/>
        <w:rPr>
          <w:rFonts w:cs="Times New Roman"/>
          <w:sz w:val="24"/>
          <w:szCs w:val="24"/>
        </w:rPr>
      </w:pPr>
      <w:r w:rsidRPr="001953B5">
        <w:rPr>
          <w:rFonts w:cs="Times New Roman"/>
          <w:sz w:val="24"/>
          <w:szCs w:val="24"/>
        </w:rPr>
        <w:t xml:space="preserve">Para la UNESCO la participación de la sociedad </w:t>
      </w:r>
      <w:r w:rsidRPr="001953B5">
        <w:rPr>
          <w:rFonts w:cs="Times New Roman"/>
          <w:sz w:val="24"/>
          <w:szCs w:val="24"/>
        </w:rPr>
        <w:t>y el consenso son</w:t>
      </w:r>
      <w:r w:rsidRPr="001953B5">
        <w:rPr>
          <w:rFonts w:cs="Times New Roman"/>
          <w:sz w:val="24"/>
          <w:szCs w:val="24"/>
        </w:rPr>
        <w:t xml:space="preserve"> indispensable</w:t>
      </w:r>
      <w:r w:rsidRPr="001953B5">
        <w:rPr>
          <w:rFonts w:cs="Times New Roman"/>
          <w:sz w:val="24"/>
          <w:szCs w:val="24"/>
        </w:rPr>
        <w:t>s</w:t>
      </w:r>
      <w:r w:rsidRPr="001953B5">
        <w:rPr>
          <w:rFonts w:cs="Times New Roman"/>
          <w:sz w:val="24"/>
          <w:szCs w:val="24"/>
        </w:rPr>
        <w:t>, y así se expresa en las Directrices Prácticas para la aplicación de la Convención del Patrimonio Mundial: “La participación de la población local en el proceso de propuesta de inscripción es esencial para que comparta con el Estado Parte la responsabilidad del mantenimiento del bien.</w:t>
      </w:r>
      <w:r w:rsidRPr="001953B5">
        <w:rPr>
          <w:rFonts w:cs="Times New Roman"/>
          <w:sz w:val="24"/>
          <w:szCs w:val="24"/>
        </w:rPr>
        <w:t>”</w:t>
      </w:r>
      <w:r w:rsidRPr="001953B5">
        <w:rPr>
          <w:rFonts w:cs="Times New Roman"/>
          <w:sz w:val="24"/>
          <w:szCs w:val="24"/>
        </w:rPr>
        <w:t xml:space="preserve"> </w:t>
      </w:r>
    </w:p>
    <w:p w:rsidR="002B25E7" w:rsidRPr="001953B5" w:rsidRDefault="002B25E7" w:rsidP="002B25E7">
      <w:pPr>
        <w:spacing w:line="240" w:lineRule="auto"/>
        <w:ind w:right="-142"/>
        <w:jc w:val="both"/>
        <w:rPr>
          <w:rFonts w:cs="Times New Roman"/>
          <w:sz w:val="24"/>
          <w:szCs w:val="24"/>
        </w:rPr>
      </w:pPr>
      <w:r w:rsidRPr="001953B5">
        <w:rPr>
          <w:rFonts w:cs="Times New Roman"/>
          <w:sz w:val="24"/>
          <w:szCs w:val="24"/>
        </w:rPr>
        <w:t xml:space="preserve">Es en cada uno de los pueblos de La Alpujarra donde se encuentran los paisajes cotidianos, los escenarios del día a día, los espacios en los que se establecen los vínculos con el entorno más inmediato. </w:t>
      </w:r>
      <w:r w:rsidRPr="001953B5">
        <w:rPr>
          <w:rFonts w:cs="Times New Roman"/>
          <w:sz w:val="24"/>
          <w:szCs w:val="24"/>
        </w:rPr>
        <w:t xml:space="preserve">Es necesario, pues, </w:t>
      </w:r>
      <w:r w:rsidRPr="001953B5">
        <w:rPr>
          <w:rFonts w:cs="Times New Roman"/>
          <w:sz w:val="24"/>
          <w:szCs w:val="24"/>
        </w:rPr>
        <w:t xml:space="preserve"> la creación de espacios de participación ciudadana en los que tengan cabida las entidades locales, asociaciones culturales, ciudadanas, empresariales, etc. durante el proceso de declaración de La Alpujarra como Patrimonio Mundial, así como en la futura gestión del territorio declarado. </w:t>
      </w:r>
    </w:p>
    <w:p w:rsidR="002B25E7" w:rsidRPr="001953B5" w:rsidRDefault="002B25E7" w:rsidP="002B25E7">
      <w:pPr>
        <w:spacing w:after="0" w:line="240" w:lineRule="auto"/>
        <w:jc w:val="both"/>
        <w:rPr>
          <w:rFonts w:eastAsia="Times New Roman" w:cs="Times New Roman"/>
          <w:sz w:val="24"/>
          <w:szCs w:val="24"/>
          <w:lang w:eastAsia="es-ES"/>
        </w:rPr>
      </w:pPr>
      <w:r w:rsidRPr="001953B5">
        <w:rPr>
          <w:rFonts w:cs="Times New Roman"/>
          <w:sz w:val="24"/>
          <w:szCs w:val="24"/>
        </w:rPr>
        <w:t xml:space="preserve">El  paisaje cultural y natural de La Alpujarra, además de su importancia como ejemplo de la relación histórica entre el hombre y el medio natural, ofrece un gran potencial para el desarrollo del nivel de vida de los residentes, por su gran capacidad para generar oportunidades en los ámbitos del  turismo cultural y natural, ocio, gastronomía, agricultura, artesanía, etc. La inclusión de La Alpujarra en la Lista del Patrimonio Mundial de la UNESCO es una oportunidad para el desarrollo de la comarca,  una distinción que la diferencia frente al resto de territorios. </w:t>
      </w:r>
      <w:r w:rsidRPr="001953B5">
        <w:rPr>
          <w:rFonts w:eastAsia="Times New Roman" w:cs="Times New Roman"/>
          <w:sz w:val="24"/>
          <w:szCs w:val="24"/>
          <w:lang w:eastAsia="es-ES"/>
        </w:rPr>
        <w:t>Sin embargo, la declaración  no garantiza en si misma  el desarrollo, para ello es preciso la responsabilidad compartida en la implantación de una normativa protectora y  de un plan de gestión que represente a todos los actores de la sociedad con el fin de alcanzar una mejor calidad de vida para todos. Uno de los aspectos en los que la UNESCO pone especial énfasis a la hora de una nueva inscripción en la Lista del Patrimonio Mundial, es precisamente la obligación de contar con un buen instrumento de gestión con el fin de identificar, controlar y minimizar los factores antrópicos o naturales que puedan ocasionar impactos en el área objeto de protección.</w:t>
      </w:r>
    </w:p>
    <w:p w:rsidR="002B25E7" w:rsidRPr="001953B5" w:rsidRDefault="002B25E7" w:rsidP="002B25E7">
      <w:pPr>
        <w:spacing w:after="0" w:line="240" w:lineRule="auto"/>
        <w:jc w:val="both"/>
        <w:rPr>
          <w:rFonts w:eastAsia="Times New Roman" w:cs="Times New Roman"/>
          <w:sz w:val="24"/>
          <w:szCs w:val="24"/>
          <w:lang w:eastAsia="es-ES"/>
        </w:rPr>
      </w:pPr>
    </w:p>
    <w:p w:rsidR="002B25E7" w:rsidRPr="001953B5" w:rsidRDefault="002B25E7" w:rsidP="002B25E7">
      <w:pPr>
        <w:spacing w:line="240" w:lineRule="auto"/>
        <w:ind w:right="-142"/>
        <w:jc w:val="both"/>
        <w:rPr>
          <w:rFonts w:cs="Times New Roman"/>
          <w:sz w:val="24"/>
          <w:szCs w:val="24"/>
        </w:rPr>
      </w:pPr>
      <w:r w:rsidRPr="001953B5">
        <w:rPr>
          <w:rFonts w:cs="Times New Roman"/>
          <w:sz w:val="24"/>
          <w:szCs w:val="24"/>
        </w:rPr>
        <w:t>El reto ante el que se encuentra la sociedad alpujarreña y los responsables políticos es doble. De un lado, la responsabilidad de conservar un paisaje y un patrimonio cultural y natural de un valor excepcional; de otro, la responsabilidad de encontrar vías de desarrollo sostenible que eviten la despoblación y el envejecimiento de la población. En este contexto, el patrimonio natural y cultural debería integrarse en las políticas de  desarrollo territorial de La Alpujarra, considerándolos como una oportunidad para ofrecer a la sociedad los medios necesarios para llenar de contenido el desarrollo sostenible y la mejora de la calidad de vida.</w:t>
      </w:r>
    </w:p>
    <w:p w:rsidR="00144169" w:rsidRPr="001953B5" w:rsidRDefault="00144169">
      <w:r>
        <w:rPr>
          <w:b/>
        </w:rPr>
        <w:t xml:space="preserve">                                                                                                     </w:t>
      </w:r>
      <w:bookmarkStart w:id="0" w:name="_GoBack"/>
      <w:bookmarkEnd w:id="0"/>
      <w:r>
        <w:rPr>
          <w:b/>
        </w:rPr>
        <w:t xml:space="preserve">                                 </w:t>
      </w:r>
      <w:r w:rsidRPr="00144169">
        <w:rPr>
          <w:b/>
        </w:rPr>
        <w:t>Ángel Bañuelos Arroyo</w:t>
      </w:r>
    </w:p>
    <w:sectPr w:rsidR="00144169" w:rsidRPr="001953B5" w:rsidSect="00144169">
      <w:pgSz w:w="11906" w:h="16838"/>
      <w:pgMar w:top="993" w:right="170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E7"/>
    <w:rsid w:val="00144169"/>
    <w:rsid w:val="001953B5"/>
    <w:rsid w:val="002B25E7"/>
    <w:rsid w:val="00332435"/>
    <w:rsid w:val="008211FC"/>
    <w:rsid w:val="00D1244A"/>
    <w:rsid w:val="00FF4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E7"/>
  </w:style>
  <w:style w:type="paragraph" w:styleId="Ttulo1">
    <w:name w:val="heading 1"/>
    <w:basedOn w:val="Normal"/>
    <w:next w:val="Normal"/>
    <w:link w:val="Ttulo1Car"/>
    <w:uiPriority w:val="9"/>
    <w:qFormat/>
    <w:rsid w:val="00FF44EF"/>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4EF"/>
    <w:rPr>
      <w:rFonts w:asciiTheme="majorHAnsi" w:eastAsiaTheme="majorEastAsia" w:hAnsiTheme="majorHAnsi" w:cstheme="majorBidi"/>
      <w:b/>
      <w:bCs/>
      <w:color w:val="365F91" w:themeColor="accent1" w:themeShade="BF"/>
      <w:sz w:val="28"/>
      <w:szCs w:val="28"/>
      <w:lang w:eastAsia="es-ES"/>
    </w:rPr>
  </w:style>
  <w:style w:type="character" w:styleId="nfasis">
    <w:name w:val="Emphasis"/>
    <w:basedOn w:val="Fuentedeprrafopredeter"/>
    <w:uiPriority w:val="20"/>
    <w:qFormat/>
    <w:rsid w:val="00FF44EF"/>
    <w:rPr>
      <w:b/>
      <w:bCs/>
      <w:i w:val="0"/>
      <w:iCs w:val="0"/>
    </w:rPr>
  </w:style>
  <w:style w:type="paragraph" w:styleId="Sinespaciado">
    <w:name w:val="No Spacing"/>
    <w:uiPriority w:val="1"/>
    <w:qFormat/>
    <w:rsid w:val="00FF44EF"/>
    <w:pPr>
      <w:spacing w:after="0" w:line="240" w:lineRule="auto"/>
    </w:pPr>
    <w:rPr>
      <w:rFonts w:ascii="Verdana" w:eastAsia="Times New Roman" w:hAnsi="Verdana" w:cs="Times New Roman"/>
      <w:sz w:val="20"/>
      <w:szCs w:val="24"/>
      <w:lang w:eastAsia="es-ES"/>
    </w:rPr>
  </w:style>
  <w:style w:type="paragraph" w:styleId="Prrafodelista">
    <w:name w:val="List Paragraph"/>
    <w:basedOn w:val="Normal"/>
    <w:uiPriority w:val="34"/>
    <w:qFormat/>
    <w:rsid w:val="00FF44EF"/>
    <w:pPr>
      <w:ind w:left="720"/>
      <w:contextualSpacing/>
    </w:pPr>
  </w:style>
  <w:style w:type="paragraph" w:styleId="Textodeglobo">
    <w:name w:val="Balloon Text"/>
    <w:basedOn w:val="Normal"/>
    <w:link w:val="TextodegloboCar"/>
    <w:uiPriority w:val="99"/>
    <w:semiHidden/>
    <w:unhideWhenUsed/>
    <w:rsid w:val="001953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E7"/>
  </w:style>
  <w:style w:type="paragraph" w:styleId="Ttulo1">
    <w:name w:val="heading 1"/>
    <w:basedOn w:val="Normal"/>
    <w:next w:val="Normal"/>
    <w:link w:val="Ttulo1Car"/>
    <w:uiPriority w:val="9"/>
    <w:qFormat/>
    <w:rsid w:val="00FF44EF"/>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4EF"/>
    <w:rPr>
      <w:rFonts w:asciiTheme="majorHAnsi" w:eastAsiaTheme="majorEastAsia" w:hAnsiTheme="majorHAnsi" w:cstheme="majorBidi"/>
      <w:b/>
      <w:bCs/>
      <w:color w:val="365F91" w:themeColor="accent1" w:themeShade="BF"/>
      <w:sz w:val="28"/>
      <w:szCs w:val="28"/>
      <w:lang w:eastAsia="es-ES"/>
    </w:rPr>
  </w:style>
  <w:style w:type="character" w:styleId="nfasis">
    <w:name w:val="Emphasis"/>
    <w:basedOn w:val="Fuentedeprrafopredeter"/>
    <w:uiPriority w:val="20"/>
    <w:qFormat/>
    <w:rsid w:val="00FF44EF"/>
    <w:rPr>
      <w:b/>
      <w:bCs/>
      <w:i w:val="0"/>
      <w:iCs w:val="0"/>
    </w:rPr>
  </w:style>
  <w:style w:type="paragraph" w:styleId="Sinespaciado">
    <w:name w:val="No Spacing"/>
    <w:uiPriority w:val="1"/>
    <w:qFormat/>
    <w:rsid w:val="00FF44EF"/>
    <w:pPr>
      <w:spacing w:after="0" w:line="240" w:lineRule="auto"/>
    </w:pPr>
    <w:rPr>
      <w:rFonts w:ascii="Verdana" w:eastAsia="Times New Roman" w:hAnsi="Verdana" w:cs="Times New Roman"/>
      <w:sz w:val="20"/>
      <w:szCs w:val="24"/>
      <w:lang w:eastAsia="es-ES"/>
    </w:rPr>
  </w:style>
  <w:style w:type="paragraph" w:styleId="Prrafodelista">
    <w:name w:val="List Paragraph"/>
    <w:basedOn w:val="Normal"/>
    <w:uiPriority w:val="34"/>
    <w:qFormat/>
    <w:rsid w:val="00FF44EF"/>
    <w:pPr>
      <w:ind w:left="720"/>
      <w:contextualSpacing/>
    </w:pPr>
  </w:style>
  <w:style w:type="paragraph" w:styleId="Textodeglobo">
    <w:name w:val="Balloon Text"/>
    <w:basedOn w:val="Normal"/>
    <w:link w:val="TextodegloboCar"/>
    <w:uiPriority w:val="99"/>
    <w:semiHidden/>
    <w:unhideWhenUsed/>
    <w:rsid w:val="001953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481</Words>
  <Characters>2597</Characters>
  <Application>Microsoft Office Word</Application>
  <DocSecurity>0</DocSecurity>
  <Lines>47</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2014-09-23T19:57:00Z</dcterms:created>
  <dcterms:modified xsi:type="dcterms:W3CDTF">2014-09-23T20:15:00Z</dcterms:modified>
</cp:coreProperties>
</file>